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本次检验项目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一、粮食加工品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GB 2762-2017《食品安全国家标准 食品中污染物限量》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GB 2761-2017《食品安全国家标准 食品中真菌毒素限量》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 w:cs="Times New Roman"/>
          <w:color w:val="auto"/>
          <w:sz w:val="24"/>
          <w:szCs w:val="24"/>
        </w:rPr>
        <w:t>镉(以Cd计)、黄曲霉毒素B1、铅(以Pb计)、脱氢乙酸及其钠盐（以脱氢乙酸计）、无机砷(以As计)、总汞(以Hg计)、铬(以Cr计)、苯并[a]芘、赭曲霉毒素 A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二、方便食品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17400-2015《食品安全国家标准 方便面》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酸价（以脂肪计）、过氧化值（以脂肪计）、菌落总数、大肠菌群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62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三、饼干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7100-2015《食品安全国家标准 饼干》、GB 2760-2014《食品安全国家标准 食品添加剂使用标准》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酸价(以脂肪计)(KOH)、过氧化值(以脂肪计)、铝的残留量（干样品，以Al计）、苯甲酸及其钠盐（以苯甲酸计）、山梨酸及其钾盐（以山梨酸计）、脱氢乙酸钠（以脱氢乙酸计）、菌落总数、大肠菌群、霉菌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62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四、餐饮食品   </w:t>
      </w:r>
    </w:p>
    <w:p>
      <w:pPr>
        <w:numPr>
          <w:ilvl w:val="0"/>
          <w:numId w:val="1"/>
        </w:num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2761-2017《食品安全国家标准 食品中真菌毒素限量》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7099-2015《食品安全国家标准 糕点、面包》、GB 29921-2013《食品安全国家标准 食品中致病菌限量》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苯甲酸及其钠盐（以苯甲酸计）、山梨酸及其钾盐（以山梨酸计）、糖精钠（以糖精计）、铝的残留量（干样品，以Al计）、</w:t>
      </w:r>
      <w:r>
        <w:rPr>
          <w:rFonts w:ascii="仿宋_GB2312" w:hAnsi="仿宋_GB2312" w:eastAsia="仿宋_GB2312" w:cs="仿宋_GB2312"/>
          <w:sz w:val="24"/>
          <w:szCs w:val="24"/>
        </w:rPr>
        <w:t>黄曲霉毒素B</w:t>
      </w:r>
      <w:r>
        <w:rPr>
          <w:rFonts w:ascii="仿宋_GB2312" w:hAnsi="仿宋_GB2312" w:eastAsia="仿宋_GB2312" w:cs="仿宋_GB2312"/>
          <w:sz w:val="24"/>
          <w:szCs w:val="24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五、茶叶及相关制品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2763-2016《食品安全国家标准 食品中农药最大残留限量》，GB 2762-2017《食品安全国家标准 食品中污染物限量》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铅（以Pb计）、甲氰菊酯、联苯菊酯、氰戊菊酯和S-氰戊菊酯、氯氰菊酯和高效氯氰菊酯、草甘膦、灭多威、吡虫啉、三氯杀螨醇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六、炒货食品及坚果制品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七、淀粉及淀粉制品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2760-2014《食品安全国家标准 食品添加剂使用标准》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二氧化硫残留量、铅（以Pb计）、铝的残留量（干样品，以Al 计）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八、豆制品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2712-2014 《食品安全国家标准 豆制品》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计）、铅(以Pb计)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九、蜂产品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14963-2011《食品安全国家标准 蜂蜜》、整顿办函〔2011〕1 号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铅（以Pb计）、果糖与葡萄糖、蔗糖、氯霉素、菌落总数、大肠菌群、霉菌计数、嗜渗酵母计数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十、酒类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</w:p>
    <w:p>
      <w:pPr>
        <w:adjustRightInd w:val="0"/>
        <w:snapToGrid w:val="0"/>
        <w:spacing w:line="620" w:lineRule="exact"/>
        <w:ind w:firstLine="480" w:firstLineChars="200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十一、肉制品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十二、乳制品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质检总局公告2011年第10号《关于三聚氰胺在食品中的限量值的公告》、GB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质检总局公告2011年第10号《关于三聚氰胺在食品中的限量值的公告》、GB 19644-2010《食品安全国家标准 乳粉》，卫生部、工业和信息化部、农业部、工商总局质检总局公告2011 年第10号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脂肪、蛋白质、非脂乳固体、酸度、商业无菌、三聚氰胺、脂肪、蛋白质、酸度、山梨酸及其钾盐（以山梨酸计）、大肠菌群、酵母、霉菌、沙门氏菌、金黄色葡萄球菌、菌落总数</w:t>
      </w: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十三、食糖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13104-2014《食品安全国家标准 食糖》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二氧化硫残留量、螨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十四、食用农产品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31650-2019《食品安全国家标准 食品中兽药最大残留限量》、农业部公告第 560 号、农业农村部公告第 250 号、GB 2763-2021《食品安全国家标准 食品中农药最大残留限量》、整顿办函〔2010〕50 号、GB 31650-2019《食品安全国家标准 食品中兽药最大残留限量》、农业农村部公告第 250 号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克伦特罗、沙丁胺醇、恩诺沙星（以恩诺沙星与环丙沙星之和计）、氯霉素、磺胺类（总量）、氧氟沙星、氯霉素、氟苯尼考、金刚烷胺、磺胺类（总量）、敌敌畏、毒死蜱、克百威、氧乐果、对硫磷、氯氟氰菊酯和高效氯氟氰菊酯、吡唑醚菌酯、多菌灵、联苯菊酯、氧乐果、镉（以Cd计）、呋喃唑酮代谢物、呋喃西林代谢物、氟虫腈、甲拌磷、腐霉利、铅(以Pb计)、亚硫酸盐（以SO2计）、4-氯苯氧乙酸钠、6-苄基腺嘌呤（6-BA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十五、食用油、油脂及其制品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酸价（以KOH计）、过氧化值、溶剂残留量、苯并[a]芘、叔丁基对羟基茴香醚（BHA）、2,6-二叔丁基对甲基苯酚（BHT）、叔丁基对苯二酚（TBHQ）、过氧化值、总砷(以As计)、铅(以Pb计)、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十六、蔬菜制品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2760-2014《食品安全国家标准 食品添加剂使用标准》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、镉(以Cd计)、总砷(以As计)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十七、薯类和膨化食品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17401-2014《食品安全国家标准 膨化食品》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十八、水果制品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食品中污染物限量》、GB 14884-2016《食品安全国家标准 蜜饯》；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十九、糖果制品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二十、调味品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二十一、饮料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7101-2015《食品安全国家标准 饮料》、GB 8537-2018《食品安全国家标准 饮用天然矿泉水》，GB 2762-2017《食品安全国家标准 食品中污染物限量》、GB 19298-2014《食品安全国家标准 包装饮用水》，GB 2762-2017《食品安全国家标准 食品中污染物限量》</w:t>
      </w:r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藓红、菌落总数、大肠菌群、霉菌、酵母、感官、总砷(以As计)、铅(以Pb计)、溴酸盐、硝酸盐(以NO3-计)、耗氧量(以O2计)、亚硝酸盐(以NO2-计)、大肠菌群、粪链球菌、铜绿假单胞菌、浑浊度、余氯（游离氯）、耗氧量(以O2计)、溴酸盐、亚硝酸盐(以NO2-计)</w:t>
      </w:r>
    </w:p>
    <w:p>
      <w:pPr>
        <w:spacing w:line="620" w:lineRule="exact"/>
        <w:ind w:firstLine="590" w:firstLineChars="245"/>
        <w:rPr>
          <w:rFonts w:ascii="仿宋_GB2312" w:hAnsi="仿宋_GB2312" w:eastAsia="仿宋_GB2312" w:cs="仿宋_GB2312"/>
          <w:b/>
          <w:sz w:val="24"/>
          <w:szCs w:val="24"/>
        </w:rPr>
      </w:pPr>
    </w:p>
    <w:p>
      <w:pPr>
        <w:spacing w:line="620" w:lineRule="exact"/>
        <w:ind w:firstLine="590" w:firstLineChars="245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二十二、蛋制品</w:t>
      </w:r>
    </w:p>
    <w:p>
      <w:pPr>
        <w:pStyle w:val="10"/>
        <w:numPr>
          <w:ilvl w:val="0"/>
          <w:numId w:val="2"/>
        </w:numPr>
        <w:spacing w:line="620" w:lineRule="exact"/>
        <w:ind w:firstLineChars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抽检依据</w:t>
      </w:r>
    </w:p>
    <w:p>
      <w:pPr>
        <w:spacing w:line="620" w:lineRule="exact"/>
        <w:ind w:left="48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</w:t>
      </w:r>
    </w:p>
    <w:p>
      <w:pPr>
        <w:adjustRightInd w:val="0"/>
        <w:snapToGrid w:val="0"/>
        <w:spacing w:line="620" w:lineRule="exact"/>
        <w:ind w:firstLine="360" w:firstLineChars="15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铅(以Pb计)、苯甲酸及其钠盐（以苯甲酸计）、山梨酸及其钾盐（以山梨酸计）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二十三、糕点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spacing w:line="6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</w:p>
    <w:p>
      <w:pPr>
        <w:spacing w:line="6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>
      <w:pPr>
        <w:spacing w:line="62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620" w:lineRule="exact"/>
        <w:ind w:firstLine="481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二十四、速冻食品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（一）抽检依据  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19295-2011 《食品安全国家标准 速冻面米制品》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spacing w:line="62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糖精钠（以糖精计）、菌落总数、大肠菌群、过氧化值（以脂肪计）、铅（以 Pb 计）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0544F"/>
    <w:multiLevelType w:val="multilevel"/>
    <w:tmpl w:val="46E0544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4CAEBD0"/>
    <w:multiLevelType w:val="singleLevel"/>
    <w:tmpl w:val="74CAEB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  <w:rsid w:val="7FCFA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860</Words>
  <Characters>4906</Characters>
  <Lines>40</Lines>
  <Paragraphs>11</Paragraphs>
  <TotalTime>108</TotalTime>
  <ScaleCrop>false</ScaleCrop>
  <LinksUpToDate>false</LinksUpToDate>
  <CharactersWithSpaces>5755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LiLisunshine</dc:creator>
  <cp:lastModifiedBy>user</cp:lastModifiedBy>
  <cp:lastPrinted>2020-08-26T09:32:00Z</cp:lastPrinted>
  <dcterms:modified xsi:type="dcterms:W3CDTF">2022-03-24T16:19:37Z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